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2716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844"/>
        <w:gridCol w:w="1520"/>
        <w:gridCol w:w="1418"/>
        <w:gridCol w:w="1134"/>
        <w:gridCol w:w="1031"/>
        <w:gridCol w:w="992"/>
        <w:gridCol w:w="992"/>
        <w:gridCol w:w="1276"/>
        <w:gridCol w:w="1417"/>
        <w:gridCol w:w="1134"/>
        <w:gridCol w:w="992"/>
        <w:gridCol w:w="76"/>
        <w:gridCol w:w="10574"/>
        <w:gridCol w:w="992"/>
        <w:gridCol w:w="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552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80"/>
              </w:tabs>
              <w:jc w:val="center"/>
              <w:rPr>
                <w:rFonts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  <w:t>“***专利事务所/有限公司”为</w:t>
            </w: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  <w:lang w:val="en-US" w:eastAsia="zh-CN"/>
              </w:rPr>
              <w:t>安徽建筑大学</w:t>
            </w: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  <w:t>大学提供知识产权服务报价单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6" w:type="dxa"/>
          <w:trHeight w:val="829" w:hRule="atLeast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D0D0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4"/>
                <w:szCs w:val="24"/>
              </w:rPr>
              <w:t>一、国内专利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8" w:type="dxa"/>
          <w:trHeight w:val="990" w:hRule="atLeast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业务内容                     类型         </w:t>
            </w: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国内基本代理费（专利申请被授权/视撤/驳回）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代理周期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特别领域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一案两报代理费用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复审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无效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加急代理收费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检索分析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优先审查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预审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8" w:type="dxa"/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发明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8" w:type="dxa"/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实用新型 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8" w:type="dxa"/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外观设计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ascii="宋体" w:hAnsi="宋体" w:eastAsia="宋体"/>
        </w:rPr>
      </w:pPr>
    </w:p>
    <w:p>
      <w:pPr>
        <w:rPr>
          <w:rFonts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t>国内基本代理费包干时段所提供的服务内容、诉讼费收取标准、翻译费、代交官费、变更费等各项业务收费标准及其它备注说明：</w:t>
      </w:r>
    </w:p>
    <w:p>
      <w:pPr>
        <w:rPr>
          <w:rFonts w:ascii="宋体" w:hAnsi="宋体" w:eastAsia="宋体"/>
        </w:rPr>
      </w:pPr>
    </w:p>
    <w:p>
      <w:pPr>
        <w:rPr>
          <w:rFonts w:ascii="宋体" w:hAnsi="宋体" w:eastAsia="宋体"/>
        </w:rPr>
      </w:pPr>
    </w:p>
    <w:tbl>
      <w:tblPr>
        <w:tblStyle w:val="4"/>
        <w:tblW w:w="132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600"/>
        <w:gridCol w:w="1960"/>
        <w:gridCol w:w="2120"/>
        <w:gridCol w:w="1900"/>
        <w:gridCol w:w="2140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3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二、国外、国际专利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美日欧代理费（国内本所代理）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美日欧代理费（转入代理）</w:t>
            </w:r>
          </w:p>
        </w:tc>
        <w:tc>
          <w:tcPr>
            <w:tcW w:w="2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其他国家或地区代理费（国内本所代理）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其他国家或地区代理费（转入代理）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PCT代理费（本所代理）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PCT代理费（转入代理）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发明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实用新型 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外观设计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rPr>
          <w:rFonts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t>备注说明：</w:t>
      </w:r>
    </w:p>
    <w:p>
      <w:pPr>
        <w:rPr>
          <w:rFonts w:ascii="宋体" w:hAnsi="宋体" w:eastAsia="宋体"/>
        </w:rPr>
      </w:pPr>
    </w:p>
    <w:tbl>
      <w:tblPr>
        <w:tblStyle w:val="4"/>
        <w:tblW w:w="568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2128"/>
        <w:gridCol w:w="18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3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、其它知识产权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2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代理费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代理周期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软件著作权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集成电路布图设计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版权登记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rPr>
          <w:rFonts w:ascii="宋体" w:hAnsi="宋体" w:eastAsia="宋体"/>
          <w:b/>
          <w:bCs/>
        </w:rPr>
      </w:pPr>
    </w:p>
    <w:p>
      <w:pPr>
        <w:rPr>
          <w:rFonts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t>注：特别需求的收费标准备注说明：</w:t>
      </w:r>
    </w:p>
    <w:p>
      <w:pPr>
        <w:rPr>
          <w:rFonts w:ascii="宋体" w:hAnsi="宋体" w:eastAsia="宋体"/>
          <w:b/>
          <w:bCs/>
        </w:rPr>
      </w:pPr>
    </w:p>
    <w:p>
      <w:pPr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color w:val="FF0000"/>
          <w:sz w:val="32"/>
          <w:szCs w:val="32"/>
        </w:rPr>
        <w:t>本代理机构承诺为贵校提供服务的收费标准低于企业标准。</w:t>
      </w:r>
    </w:p>
    <w:p>
      <w:pPr>
        <w:rPr>
          <w:rFonts w:ascii="宋体" w:hAnsi="宋体" w:eastAsia="宋体"/>
          <w:b/>
          <w:bCs/>
        </w:rPr>
      </w:pPr>
    </w:p>
    <w:sectPr>
      <w:pgSz w:w="16838" w:h="11906" w:orient="landscape"/>
      <w:pgMar w:top="567" w:right="0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