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E75CD7">
      <w:pPr>
        <w:spacing w:line="600" w:lineRule="exact"/>
        <w:rPr>
          <w:rFonts w:ascii="Times New Roman" w:hAnsi="Times New Roman" w:eastAsia="方正小标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7F81EE0B">
      <w:pPr>
        <w:spacing w:line="600" w:lineRule="exact"/>
        <w:rPr>
          <w:rFonts w:ascii="Times New Roman" w:hAnsi="Times New Roman" w:eastAsia="方正小标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36961754">
      <w:pPr>
        <w:spacing w:line="600" w:lineRule="exact"/>
        <w:jc w:val="center"/>
        <w:rPr>
          <w:rFonts w:ascii="Times New Roman" w:hAnsi="Times New Roman" w:eastAsia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合政研〔2023〕1号</w:t>
      </w:r>
    </w:p>
    <w:p w14:paraId="3709CAC2">
      <w:pPr>
        <w:spacing w:line="560" w:lineRule="exact"/>
        <w:jc w:val="center"/>
        <w:rPr>
          <w:rFonts w:ascii="Times New Roman" w:hAnsi="Times New Roman" w:eastAsia="方正小标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0DB434C5">
      <w:pPr>
        <w:spacing w:line="600" w:lineRule="exact"/>
        <w:jc w:val="center"/>
        <w:rPr>
          <w:rFonts w:ascii="Times New Roman" w:hAnsi="Times New Roman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合肥市人民政府政策研究室关于印发</w:t>
      </w:r>
    </w:p>
    <w:p w14:paraId="55591732">
      <w:pPr>
        <w:spacing w:line="600" w:lineRule="exact"/>
        <w:jc w:val="center"/>
        <w:rPr>
          <w:rFonts w:ascii="Times New Roman" w:hAnsi="Times New Roman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《合肥市人民政府重大研究课题</w:t>
      </w:r>
    </w:p>
    <w:p w14:paraId="55DBCAC1">
      <w:pPr>
        <w:spacing w:line="600" w:lineRule="exact"/>
        <w:jc w:val="center"/>
        <w:rPr>
          <w:rFonts w:ascii="Times New Roman" w:hAnsi="Times New Roman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管理办法》的通知</w:t>
      </w:r>
    </w:p>
    <w:p w14:paraId="6BFE3609">
      <w:pPr>
        <w:rPr>
          <w:rFonts w:ascii="Times New Roman" w:hAnsi="Times New Roman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126BF501">
      <w:pP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各处室：</w:t>
      </w:r>
    </w:p>
    <w:p w14:paraId="52A2D30C">
      <w:pPr>
        <w:ind w:firstLine="640" w:firstLineChars="200"/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经室党组会议研究同意，现将《合肥市人民政府重大研究课题管理办法》印发给你们，请遵照执行。</w:t>
      </w:r>
    </w:p>
    <w:p w14:paraId="4B87493A">
      <w:pPr>
        <w:ind w:firstLine="420"/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2011160E">
      <w:pPr>
        <w:ind w:firstLine="420"/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附件：合肥市人民政府重大研究课题管理办法</w:t>
      </w:r>
    </w:p>
    <w:p w14:paraId="4A87E4B6">
      <w:pPr>
        <w:ind w:firstLine="420"/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5A5DFAD9">
      <w:pPr>
        <w:ind w:firstLine="420"/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626D43C7">
      <w:pPr>
        <w:wordWrap w:val="0"/>
        <w:ind w:firstLine="420"/>
        <w:jc w:val="right"/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2023年2月23日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</w:t>
      </w:r>
    </w:p>
    <w:p w14:paraId="14CE072E">
      <w:pPr>
        <w:ind w:firstLine="420"/>
        <w:jc w:val="right"/>
        <w:rPr>
          <w:rFonts w:ascii="Times New Roman" w:hAnsi="Times New Roman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476D27C6">
      <w:pPr>
        <w:overflowPunct w:val="0"/>
        <w:adjustRightInd w:val="0"/>
        <w:snapToGrid w:val="0"/>
        <w:spacing w:line="592" w:lineRule="exact"/>
        <w:ind w:firstLine="640" w:firstLineChars="200"/>
        <w:rPr>
          <w:rFonts w:eastAsia="楷体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sectPr>
          <w:pgSz w:w="11906" w:h="16838"/>
          <w:pgMar w:top="1440" w:right="1800" w:bottom="1440" w:left="1800" w:header="851" w:footer="992" w:gutter="0"/>
          <w:pgNumType w:fmt="numberInDash" w:start="2"/>
          <w:cols w:space="425" w:num="1"/>
          <w:docGrid w:type="lines" w:linePitch="312" w:charSpace="0"/>
        </w:sectPr>
      </w:pPr>
    </w:p>
    <w:p w14:paraId="071D72AB">
      <w:pPr>
        <w:spacing w:line="592" w:lineRule="exact"/>
        <w:jc w:val="center"/>
        <w:rPr>
          <w:rFonts w:ascii="Times New Roman" w:hAnsi="Times New Roman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合肥市人民政府重大研究课题管理办法</w:t>
      </w:r>
    </w:p>
    <w:p w14:paraId="0FC4C638">
      <w:pPr>
        <w:spacing w:line="592" w:lineRule="exact"/>
        <w:ind w:right="640"/>
        <w:rPr>
          <w:rFonts w:ascii="Times New Roman" w:hAnsi="Times New Roman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0AF4F963">
      <w:pPr>
        <w:spacing w:line="592" w:lineRule="exact"/>
        <w:ind w:right="640"/>
        <w:jc w:val="center"/>
        <w:rPr>
          <w:rFonts w:ascii="Times New Roman" w:hAnsi="Times New Roman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第一章　总则</w:t>
      </w:r>
    </w:p>
    <w:p w14:paraId="730FF06D">
      <w:pPr>
        <w:spacing w:line="592" w:lineRule="exact"/>
        <w:ind w:right="640" w:firstLine="643" w:firstLineChars="200"/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楷体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第一条</w:t>
      </w: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为规范市政府重大研究课题管理，制定本办法。</w:t>
      </w:r>
    </w:p>
    <w:p w14:paraId="45877EE8">
      <w:pPr>
        <w:spacing w:line="592" w:lineRule="exact"/>
        <w:ind w:right="640" w:firstLine="643" w:firstLineChars="200"/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楷体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第二条</w:t>
      </w: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市政府重大研究课题包括公开发布课题、委托研究课题和合作研究课题。</w:t>
      </w:r>
    </w:p>
    <w:p w14:paraId="7A1C671D">
      <w:pPr>
        <w:spacing w:line="592" w:lineRule="exact"/>
        <w:ind w:right="640" w:firstLine="643" w:firstLineChars="200"/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楷体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第三条</w:t>
      </w: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市政府重大研究课题，以推进决策科学化、民主化为宗旨，通过定性与定量相结合的系统分析论证，就事关合肥发展的全局性、战略性、前瞻性问题开展研究，形成既有理论高度又有实践价值的研究报告。</w:t>
      </w:r>
    </w:p>
    <w:p w14:paraId="2EACC5C3">
      <w:pPr>
        <w:spacing w:line="592" w:lineRule="exact"/>
        <w:ind w:right="640" w:firstLine="643" w:firstLineChars="200"/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楷体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第四条</w:t>
      </w: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市政府重大研究课题的组织实施由市政府政策研究室（</w:t>
      </w:r>
      <w:r>
        <w:rPr>
          <w:rFonts w:ascii="Times New Roman" w:hAnsi="Times New Roman" w:eastAsia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以下简称政研室</w:t>
      </w: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）负责。</w:t>
      </w:r>
    </w:p>
    <w:p w14:paraId="352B97FE">
      <w:pPr>
        <w:spacing w:line="592" w:lineRule="exact"/>
        <w:ind w:right="640" w:firstLine="643" w:firstLineChars="200"/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楷体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第五条</w:t>
      </w:r>
      <w:r>
        <w:rPr>
          <w:rFonts w:ascii="Times New Roman" w:hAnsi="Times New Roman" w:eastAsia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市政府</w:t>
      </w:r>
      <w:bookmarkStart w:id="0" w:name="_GoBack"/>
      <w:bookmarkEnd w:id="0"/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重大研究课题立项评审、中期论证、结项评审邀请市纪委监委驻市政府办公室纪检监察组参加，接受纪律监督。</w:t>
      </w:r>
    </w:p>
    <w:p w14:paraId="6472B00E">
      <w:pPr>
        <w:spacing w:line="592" w:lineRule="exact"/>
        <w:ind w:right="640"/>
        <w:jc w:val="center"/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1ED8FF8D">
      <w:pPr>
        <w:spacing w:line="592" w:lineRule="exact"/>
        <w:ind w:right="640"/>
        <w:jc w:val="center"/>
        <w:rPr>
          <w:rFonts w:ascii="Times New Roman" w:hAnsi="Times New Roman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第二章　申请与立项</w:t>
      </w:r>
    </w:p>
    <w:p w14:paraId="05D07E5F">
      <w:pPr>
        <w:spacing w:line="592" w:lineRule="exact"/>
        <w:ind w:right="640" w:firstLine="643" w:firstLineChars="200"/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楷体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第六条</w:t>
      </w:r>
      <w:r>
        <w:rPr>
          <w:rFonts w:ascii="Times New Roman" w:hAnsi="Times New Roman" w:eastAsia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市政府重大研究课题由政研室提出备选课题，报市领导审定。公开发布课题通过合肥市人民政府网站发布招标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通知</w:t>
      </w: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公开</w:t>
      </w: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时间不少于15个工作日。</w:t>
      </w:r>
    </w:p>
    <w:p w14:paraId="2A8CB431">
      <w:pPr>
        <w:spacing w:line="592" w:lineRule="exact"/>
        <w:ind w:right="640" w:firstLine="643" w:firstLineChars="200"/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楷体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第七条</w:t>
      </w: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课题不接受个人申请，申请人应通过所在单位进行申请。申请人所在单位或主管部门要对申请人的资格、完成课题的能力进行审查，并出具明确意见。申请人每年度只能申请一项市政府重大研究课题。鼓励高等院校、科研院所、企事业单位、智库等与党委、政府有关工作部门联合申请。对申报材料初审后，有效申请者不足3个的课题，视为流标。</w:t>
      </w:r>
    </w:p>
    <w:p w14:paraId="72E97FAF">
      <w:pPr>
        <w:spacing w:line="592" w:lineRule="exact"/>
        <w:ind w:right="640" w:firstLine="643" w:firstLineChars="200"/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楷体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第八条</w:t>
      </w: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　课题立项实行专家评审制。建立课题评审专家库，由党政研究机构及智库具备相关专业背景的专家学者组成。年度课题立项评审从专家库抽取5-7名专家组成专家评审组，实行专家本人回避制度。现场评审采取综合评分、集中评议或无记名投票方式，由专家组确定每个课题的前两名。在此基础上，政研室党组结合申报团队人员结构、过往学术成果和研究经历等，集体研究确定课题承办单位。</w:t>
      </w:r>
    </w:p>
    <w:p w14:paraId="02D44C26">
      <w:pPr>
        <w:spacing w:line="592" w:lineRule="exact"/>
        <w:ind w:right="640" w:firstLine="643" w:firstLineChars="200"/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楷体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第九条</w:t>
      </w: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　确定立项的课题在合肥市人民政府网站公示，公示期为5个工作日。公示期满且无异议，政研室下达立项文件。</w:t>
      </w:r>
    </w:p>
    <w:p w14:paraId="2579ECC1">
      <w:pPr>
        <w:spacing w:line="592" w:lineRule="exact"/>
        <w:ind w:right="640" w:firstLine="643" w:firstLineChars="200"/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楷体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第十条</w:t>
      </w: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对于市委市政府紧急部署的临时性重点课题，以及流标的课题、中标课题组自动放弃的课题，经室党组会集体研究，可采取定向委托方式确定课题承办单位。</w:t>
      </w:r>
    </w:p>
    <w:p w14:paraId="517C5C44">
      <w:pPr>
        <w:spacing w:line="592" w:lineRule="exact"/>
        <w:ind w:right="640"/>
        <w:jc w:val="center"/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2AEC775E">
      <w:pPr>
        <w:spacing w:line="592" w:lineRule="exact"/>
        <w:ind w:right="640"/>
        <w:jc w:val="center"/>
        <w:rPr>
          <w:rFonts w:ascii="Times New Roman" w:hAnsi="Times New Roman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第三章　过程管理</w:t>
      </w:r>
    </w:p>
    <w:p w14:paraId="4CAC22BF">
      <w:pPr>
        <w:spacing w:line="592" w:lineRule="exact"/>
        <w:ind w:right="640" w:firstLine="643" w:firstLineChars="200"/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楷体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第十一条</w:t>
      </w: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　课题组所在单位应在政研室下达立项文件后7个工作日内，按照要求签订委托研究协议；逾期不办的，视为自动放弃。</w:t>
      </w:r>
    </w:p>
    <w:p w14:paraId="02BDCBD0">
      <w:pPr>
        <w:spacing w:line="592" w:lineRule="exact"/>
        <w:ind w:right="640" w:firstLine="643" w:firstLineChars="200"/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楷体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第十二条</w:t>
      </w: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签订委托研究协议后10个工作日内，课题组所在单位应认真组织开题，并向政研室提交研究计划和提纲。政研室针对每个课题确定一名工作人员作为课题联系人，负责跟踪衔接相应工作，并提供必要调研便利。课题组应每月向政研室书面报告课题进展情况。</w:t>
      </w:r>
    </w:p>
    <w:p w14:paraId="4640968C">
      <w:pPr>
        <w:spacing w:line="592" w:lineRule="exact"/>
        <w:ind w:right="640" w:firstLine="643" w:firstLineChars="200"/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楷体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第十三条</w:t>
      </w: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开题后三个月内，课题组应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提交中期</w:t>
      </w: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报告（</w:t>
      </w:r>
      <w:r>
        <w:rPr>
          <w:rFonts w:ascii="Times New Roman" w:hAnsi="Times New Roman" w:eastAsia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Times New Roman" w:hAnsi="Times New Roman" w:eastAsia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万字左右</w:t>
      </w: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），政研室将组织召开中期成果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评审会</w:t>
      </w: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评审结论分为三类：合格；基本合格；不合格。中期评审（</w:t>
      </w:r>
      <w:r>
        <w:rPr>
          <w:rFonts w:hint="eastAsia" w:ascii="Times New Roman" w:hAnsi="Times New Roman" w:eastAsia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评委</w:t>
      </w:r>
      <w:r>
        <w:rPr>
          <w:rFonts w:ascii="Times New Roman" w:hAnsi="Times New Roman" w:eastAsia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5-7</w:t>
      </w:r>
      <w:r>
        <w:rPr>
          <w:rFonts w:hint="eastAsia" w:ascii="Times New Roman" w:hAnsi="Times New Roman" w:eastAsia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人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）中，有4</w:t>
      </w: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0%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以上（</w:t>
      </w:r>
      <w:r>
        <w:rPr>
          <w:rFonts w:hint="eastAsia" w:ascii="Times New Roman" w:hAnsi="Times New Roman" w:eastAsia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含4</w:t>
      </w:r>
      <w:r>
        <w:rPr>
          <w:rFonts w:ascii="Times New Roman" w:hAnsi="Times New Roman" w:eastAsia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0%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）的评委给予“不合格”评价的课题，即视为“不合格”。“不合格”课题终止研究并</w:t>
      </w: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停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拨剩余</w:t>
      </w: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经费，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课题</w:t>
      </w: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负责人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2年内不得申请市政府重大研究课题。</w:t>
      </w:r>
    </w:p>
    <w:p w14:paraId="36DC443E">
      <w:pPr>
        <w:spacing w:line="592" w:lineRule="exact"/>
        <w:ind w:right="640" w:firstLine="643" w:firstLineChars="200"/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楷体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第十</w:t>
      </w:r>
      <w:r>
        <w:rPr>
          <w:rFonts w:hint="eastAsia" w:ascii="Times New Roman" w:hAnsi="Times New Roman" w:eastAsia="楷体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四</w:t>
      </w:r>
      <w:r>
        <w:rPr>
          <w:rFonts w:ascii="Times New Roman" w:hAnsi="Times New Roman" w:eastAsia="楷体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条</w:t>
      </w: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结项评审原则上于当年10月底前完成。结项评审之前，课题组所在单位应对课题研究成果（</w:t>
      </w:r>
      <w:r>
        <w:rPr>
          <w:rFonts w:ascii="Times New Roman" w:hAnsi="Times New Roman" w:eastAsia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含2-3万字的研究报告及5000字左右的</w:t>
      </w:r>
      <w:r>
        <w:rPr>
          <w:rFonts w:hint="eastAsia" w:ascii="Times New Roman" w:hAnsi="Times New Roman" w:eastAsia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决策咨询专报</w:t>
      </w: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进行审定并签署同意结题的意见。审核的主要内容包括：研究思路是否清晰，研究方法是否恰当，研究过程是否紧密联系合肥实际，研究成果的创新性、实用性、可操作性如何，是否达到委托研究协议约定的目标和要求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，是否</w:t>
      </w: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存在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意识形态问题等</w:t>
      </w: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 w14:paraId="3B32BEAA">
      <w:pPr>
        <w:spacing w:line="592" w:lineRule="exact"/>
        <w:ind w:right="640" w:firstLine="643" w:firstLineChars="200"/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楷体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第十</w:t>
      </w:r>
      <w:r>
        <w:rPr>
          <w:rFonts w:hint="eastAsia" w:ascii="Times New Roman" w:hAnsi="Times New Roman" w:eastAsia="楷体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五</w:t>
      </w:r>
      <w:r>
        <w:rPr>
          <w:rFonts w:ascii="Times New Roman" w:hAnsi="Times New Roman" w:eastAsia="楷体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条</w:t>
      </w: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　政研室负责组织召开结项评审会，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评审结论分为三类：同意结项；修改完善后再结项；不合格。结项评审（</w:t>
      </w:r>
      <w:r>
        <w:rPr>
          <w:rFonts w:hint="eastAsia" w:ascii="Times New Roman" w:hAnsi="Times New Roman" w:eastAsia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评委</w:t>
      </w:r>
      <w:r>
        <w:rPr>
          <w:rFonts w:ascii="Times New Roman" w:hAnsi="Times New Roman" w:eastAsia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5-7</w:t>
      </w:r>
      <w:r>
        <w:rPr>
          <w:rFonts w:hint="eastAsia" w:ascii="Times New Roman" w:hAnsi="Times New Roman" w:eastAsia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人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）中，有4</w:t>
      </w: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0%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以上（</w:t>
      </w:r>
      <w:r>
        <w:rPr>
          <w:rFonts w:hint="eastAsia" w:ascii="Times New Roman" w:hAnsi="Times New Roman" w:eastAsia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含4</w:t>
      </w:r>
      <w:r>
        <w:rPr>
          <w:rFonts w:ascii="Times New Roman" w:hAnsi="Times New Roman" w:eastAsia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0%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）的评委给予“不合格”评价的课题，即视为“不合格”。“不合格”课题终止研究并停拨剩余经费，课题</w:t>
      </w: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负责人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2年内不得申请市政府重大研究课题。</w:t>
      </w:r>
    </w:p>
    <w:p w14:paraId="24C945D1">
      <w:pPr>
        <w:spacing w:line="592" w:lineRule="exact"/>
        <w:ind w:right="640" w:firstLine="643" w:firstLineChars="200"/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楷体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第十</w:t>
      </w:r>
      <w:r>
        <w:rPr>
          <w:rFonts w:hint="eastAsia" w:ascii="Times New Roman" w:hAnsi="Times New Roman" w:eastAsia="楷体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六</w:t>
      </w:r>
      <w:r>
        <w:rPr>
          <w:rFonts w:ascii="Times New Roman" w:hAnsi="Times New Roman" w:eastAsia="楷体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条</w:t>
      </w: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每个课题研究经费原则上为6-8万元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Times New Roman" w:hAnsi="Times New Roman" w:eastAsia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结合当年课题数目调整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</w:t>
      </w: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按照</w:t>
      </w: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课题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完成</w:t>
      </w: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进度，分三次拨付到课题负责人所在单位的银行帐户，委托研究协议签订后拨付30%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通过中期论证后拨付20%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通过结项评审并按要求修改完善研究报告及简本后拨付50%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。该经费由</w:t>
      </w: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课题负责人所在单位财务部门统一管理，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专款</w:t>
      </w: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专用，不得用于与课题研究无关的开支。</w:t>
      </w:r>
    </w:p>
    <w:p w14:paraId="58883665">
      <w:pPr>
        <w:spacing w:line="592" w:lineRule="exact"/>
        <w:ind w:right="640" w:firstLine="643" w:firstLineChars="200"/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楷体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第十</w:t>
      </w:r>
      <w:r>
        <w:rPr>
          <w:rFonts w:hint="eastAsia" w:ascii="Times New Roman" w:hAnsi="Times New Roman" w:eastAsia="楷体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七</w:t>
      </w:r>
      <w:r>
        <w:rPr>
          <w:rFonts w:ascii="Times New Roman" w:hAnsi="Times New Roman" w:eastAsia="楷体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条</w:t>
      </w: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研究课题因不可抗力无法按期完成或继续实施的，承办单位应在合同到期前30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天内书面申请延期、终止或撤销课题。政研室同意延期的课题，应在延期日期截止前完成；同意终止或撤销的课题，应退还全部课题经费且</w:t>
      </w: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年内不得申报市政府重大研究课题；未经同意不按期完成或者单方面终止的课题，应退还全部课题经费</w:t>
      </w: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且3年内不得申报市政府重大研究课题。</w:t>
      </w:r>
    </w:p>
    <w:p w14:paraId="7C9BA7DD">
      <w:pPr>
        <w:spacing w:line="592" w:lineRule="exact"/>
        <w:ind w:right="640"/>
        <w:jc w:val="center"/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7A83CE0E">
      <w:pPr>
        <w:spacing w:line="592" w:lineRule="exact"/>
        <w:ind w:right="640"/>
        <w:jc w:val="center"/>
        <w:rPr>
          <w:rFonts w:ascii="Times New Roman" w:hAnsi="Times New Roman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第四章　成果应用</w:t>
      </w:r>
    </w:p>
    <w:p w14:paraId="2D84EA32">
      <w:pPr>
        <w:spacing w:line="592" w:lineRule="exact"/>
        <w:ind w:right="640" w:firstLine="643" w:firstLineChars="200"/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楷体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第十八</w:t>
      </w:r>
      <w:r>
        <w:rPr>
          <w:rFonts w:ascii="Times New Roman" w:hAnsi="Times New Roman" w:eastAsia="楷体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条</w:t>
      </w: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　通过验收的市政府重大研究课题成果，政研室将以《调研专报》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等</w:t>
      </w: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内刊形式报市委、市政府领导参阅，将研究成果积极吸收到制定或起草的政策文件、重要文稿中，并向市直相关部门推介研究成果，转化为实际政策措施。</w:t>
      </w:r>
    </w:p>
    <w:p w14:paraId="5F19446C">
      <w:pPr>
        <w:spacing w:line="592" w:lineRule="exact"/>
        <w:ind w:right="640" w:firstLine="643" w:firstLineChars="200"/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楷体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</w:t>
      </w:r>
      <w:r>
        <w:rPr>
          <w:rFonts w:hint="eastAsia" w:ascii="Times New Roman" w:hAnsi="Times New Roman" w:eastAsia="楷体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十九</w:t>
      </w:r>
      <w:r>
        <w:rPr>
          <w:rFonts w:ascii="Times New Roman" w:hAnsi="Times New Roman" w:eastAsia="楷体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条</w:t>
      </w: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　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除另有约定的外，市政府重大研究课题成果的所有权和使用权归政研室所有。未结项课题不得以立项课题名义公开发表。课题组在公开发表或向他人提供课题研究成果时，必须经政研室书面同意。</w:t>
      </w:r>
    </w:p>
    <w:p w14:paraId="6762CF47">
      <w:pPr>
        <w:spacing w:line="592" w:lineRule="exact"/>
        <w:ind w:right="640"/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54B6D426">
      <w:pPr>
        <w:spacing w:line="592" w:lineRule="exact"/>
        <w:ind w:right="640"/>
        <w:jc w:val="center"/>
        <w:rPr>
          <w:rFonts w:ascii="Times New Roman" w:hAnsi="Times New Roman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第五章　附则</w:t>
      </w:r>
    </w:p>
    <w:p w14:paraId="04F58B3A">
      <w:pPr>
        <w:spacing w:line="592" w:lineRule="exact"/>
        <w:ind w:right="640" w:firstLine="643" w:firstLineChars="200"/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楷体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第二十条</w:t>
      </w: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本办法自印发之日起施行，有效期</w:t>
      </w: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年，由政研室负责解释。原课题管理办法同时废止</w:t>
      </w:r>
      <w:r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 w14:paraId="5AEAE63E">
      <w:pPr>
        <w:spacing w:line="592" w:lineRule="exact"/>
        <w:ind w:right="640" w:firstLine="640" w:firstLineChars="200"/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008FBEE1">
      <w:pPr>
        <w:rPr>
          <w:rFonts w:ascii="Times New Roman" w:hAnsi="Times New Roman" w:eastAsia="仿宋_GB2312"/>
          <w:color w:val="000000" w:themeColor="text1"/>
          <w14:textFill>
            <w14:solidFill>
              <w14:schemeClr w14:val="tx1"/>
            </w14:solidFill>
          </w14:textFill>
        </w:rPr>
      </w:pPr>
    </w:p>
    <w:p w14:paraId="259A75DD">
      <w:pPr>
        <w:rPr>
          <w:rFonts w:ascii="Times New Roman" w:hAnsi="Times New Roman" w:eastAsia="仿宋_GB2312"/>
          <w:color w:val="000000" w:themeColor="text1"/>
          <w14:textFill>
            <w14:solidFill>
              <w14:schemeClr w14:val="tx1"/>
            </w14:solidFill>
          </w14:textFill>
        </w:rPr>
      </w:pPr>
    </w:p>
    <w:p w14:paraId="31A854A3">
      <w:pPr>
        <w:rPr>
          <w:rFonts w:ascii="Times New Roman" w:hAnsi="Times New Roman" w:eastAsia="仿宋_GB2312"/>
          <w:color w:val="000000" w:themeColor="text1"/>
          <w14:textFill>
            <w14:solidFill>
              <w14:schemeClr w14:val="tx1"/>
            </w14:solidFill>
          </w14:textFill>
        </w:rPr>
      </w:pPr>
    </w:p>
    <w:p w14:paraId="21C3BCC8">
      <w:pPr>
        <w:rPr>
          <w:rFonts w:ascii="Times New Roman" w:hAnsi="Times New Roman" w:eastAsia="仿宋_GB2312"/>
          <w:color w:val="000000" w:themeColor="text1"/>
          <w14:textFill>
            <w14:solidFill>
              <w14:schemeClr w14:val="tx1"/>
            </w14:solidFill>
          </w14:textFill>
        </w:rPr>
      </w:pPr>
    </w:p>
    <w:p w14:paraId="6D2E1264">
      <w:pPr>
        <w:rPr>
          <w:rFonts w:ascii="Times New Roman" w:hAnsi="Times New Roman" w:eastAsia="仿宋_GB2312"/>
          <w:color w:val="000000" w:themeColor="text1"/>
          <w14:textFill>
            <w14:solidFill>
              <w14:schemeClr w14:val="tx1"/>
            </w14:solidFill>
          </w14:textFill>
        </w:rPr>
      </w:pPr>
    </w:p>
    <w:p w14:paraId="1B8484B2">
      <w:pPr>
        <w:rPr>
          <w:rFonts w:ascii="Times New Roman" w:hAnsi="Times New Roman" w:eastAsia="仿宋_GB2312"/>
          <w:color w:val="000000" w:themeColor="text1"/>
          <w14:textFill>
            <w14:solidFill>
              <w14:schemeClr w14:val="tx1"/>
            </w14:solidFill>
          </w14:textFill>
        </w:rPr>
      </w:pPr>
    </w:p>
    <w:p w14:paraId="45E3745C">
      <w:pPr>
        <w:rPr>
          <w:rFonts w:ascii="Times New Roman" w:hAnsi="Times New Roman" w:eastAsia="仿宋_GB2312"/>
          <w:color w:val="000000" w:themeColor="text1"/>
          <w14:textFill>
            <w14:solidFill>
              <w14:schemeClr w14:val="tx1"/>
            </w14:solidFill>
          </w14:textFill>
        </w:rPr>
      </w:pPr>
    </w:p>
    <w:p w14:paraId="41F3C324">
      <w:pPr>
        <w:rPr>
          <w:rFonts w:ascii="Times New Roman" w:hAnsi="Times New Roman" w:eastAsia="仿宋_GB2312"/>
          <w:color w:val="000000" w:themeColor="text1"/>
          <w14:textFill>
            <w14:solidFill>
              <w14:schemeClr w14:val="tx1"/>
            </w14:solidFill>
          </w14:textFill>
        </w:rPr>
      </w:pPr>
    </w:p>
    <w:p w14:paraId="3F920E20">
      <w:pPr>
        <w:rPr>
          <w:rFonts w:ascii="Times New Roman" w:hAnsi="Times New Roman" w:eastAsia="仿宋_GB2312"/>
          <w:color w:val="000000" w:themeColor="text1"/>
          <w14:textFill>
            <w14:solidFill>
              <w14:schemeClr w14:val="tx1"/>
            </w14:solidFill>
          </w14:textFill>
        </w:rPr>
      </w:pPr>
    </w:p>
    <w:p w14:paraId="6134B77E">
      <w:pPr>
        <w:rPr>
          <w:rFonts w:ascii="Times New Roman" w:hAnsi="Times New Roman" w:eastAsia="仿宋_GB2312"/>
          <w:color w:val="000000" w:themeColor="text1"/>
          <w14:textFill>
            <w14:solidFill>
              <w14:schemeClr w14:val="tx1"/>
            </w14:solidFill>
          </w14:textFill>
        </w:rPr>
      </w:pPr>
    </w:p>
    <w:p w14:paraId="3E703CC2">
      <w:pPr>
        <w:rPr>
          <w:rFonts w:ascii="Times New Roman" w:hAnsi="Times New Roman" w:eastAsia="仿宋_GB2312"/>
          <w:color w:val="000000" w:themeColor="text1"/>
          <w14:textFill>
            <w14:solidFill>
              <w14:schemeClr w14:val="tx1"/>
            </w14:solidFill>
          </w14:textFill>
        </w:rPr>
      </w:pPr>
    </w:p>
    <w:p w14:paraId="72D7AC19">
      <w:pPr>
        <w:rPr>
          <w:rFonts w:ascii="Times New Roman" w:hAnsi="Times New Roman" w:eastAsia="仿宋_GB2312"/>
          <w:color w:val="000000" w:themeColor="text1"/>
          <w14:textFill>
            <w14:solidFill>
              <w14:schemeClr w14:val="tx1"/>
            </w14:solidFill>
          </w14:textFill>
        </w:rPr>
      </w:pPr>
    </w:p>
    <w:p w14:paraId="56F2422D">
      <w:pPr>
        <w:rPr>
          <w:rFonts w:ascii="Times New Roman" w:hAnsi="Times New Roman" w:eastAsia="仿宋_GB2312"/>
          <w:color w:val="000000" w:themeColor="text1"/>
          <w14:textFill>
            <w14:solidFill>
              <w14:schemeClr w14:val="tx1"/>
            </w14:solidFill>
          </w14:textFill>
        </w:rPr>
      </w:pPr>
    </w:p>
    <w:p w14:paraId="26E1A55F">
      <w:pPr>
        <w:rPr>
          <w:rFonts w:ascii="Times New Roman" w:hAnsi="Times New Roman" w:eastAsia="仿宋_GB2312"/>
          <w:color w:val="000000" w:themeColor="text1"/>
          <w14:textFill>
            <w14:solidFill>
              <w14:schemeClr w14:val="tx1"/>
            </w14:solidFill>
          </w14:textFill>
        </w:rPr>
      </w:pPr>
    </w:p>
    <w:p w14:paraId="3991EC01">
      <w:pPr>
        <w:rPr>
          <w:rFonts w:ascii="Times New Roman" w:hAnsi="Times New Roman" w:eastAsia="仿宋_GB2312"/>
          <w:color w:val="000000" w:themeColor="text1"/>
          <w14:textFill>
            <w14:solidFill>
              <w14:schemeClr w14:val="tx1"/>
            </w14:solidFill>
          </w14:textFill>
        </w:rPr>
      </w:pPr>
    </w:p>
    <w:p w14:paraId="2E17A893">
      <w:pPr>
        <w:rPr>
          <w:rFonts w:ascii="Times New Roman" w:hAnsi="Times New Roman" w:eastAsia="仿宋_GB2312"/>
          <w:color w:val="000000" w:themeColor="text1"/>
          <w14:textFill>
            <w14:solidFill>
              <w14:schemeClr w14:val="tx1"/>
            </w14:solidFill>
          </w14:textFill>
        </w:rPr>
      </w:pPr>
    </w:p>
    <w:p w14:paraId="5CAACA72">
      <w:pPr>
        <w:rPr>
          <w:rFonts w:ascii="Times New Roman" w:hAnsi="Times New Roman" w:eastAsia="仿宋_GB2312"/>
          <w:color w:val="000000" w:themeColor="text1"/>
          <w14:textFill>
            <w14:solidFill>
              <w14:schemeClr w14:val="tx1"/>
            </w14:solidFill>
          </w14:textFill>
        </w:rPr>
      </w:pPr>
    </w:p>
    <w:p w14:paraId="1F25565A">
      <w:pPr>
        <w:rPr>
          <w:rFonts w:ascii="Times New Roman" w:hAnsi="Times New Roman" w:eastAsia="仿宋_GB2312"/>
          <w:color w:val="000000" w:themeColor="text1"/>
          <w14:textFill>
            <w14:solidFill>
              <w14:schemeClr w14:val="tx1"/>
            </w14:solidFill>
          </w14:textFill>
        </w:rPr>
      </w:pPr>
    </w:p>
    <w:p w14:paraId="766E737D">
      <w:pPr>
        <w:rPr>
          <w:rFonts w:ascii="Times New Roman" w:hAnsi="Times New Roman" w:eastAsia="仿宋_GB2312"/>
          <w:color w:val="000000" w:themeColor="text1"/>
          <w14:textFill>
            <w14:solidFill>
              <w14:schemeClr w14:val="tx1"/>
            </w14:solidFill>
          </w14:textFill>
        </w:rPr>
      </w:pPr>
    </w:p>
    <w:p w14:paraId="0651767A">
      <w:pPr>
        <w:overflowPunct w:val="0"/>
        <w:adjustRightInd w:val="0"/>
        <w:snapToGrid w:val="0"/>
        <w:spacing w:line="592" w:lineRule="exact"/>
        <w:ind w:firstLine="280" w:firstLineChars="100"/>
        <w:jc w:val="left"/>
        <w:rPr>
          <w:rFonts w:ascii="仿宋_GB2312" w:hAnsi="仿宋_GB2312" w:eastAsia="仿宋_GB2312" w:cs="仿宋_GB2312"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48895</wp:posOffset>
                </wp:positionH>
                <wp:positionV relativeFrom="paragraph">
                  <wp:posOffset>63500</wp:posOffset>
                </wp:positionV>
                <wp:extent cx="5687695" cy="0"/>
                <wp:effectExtent l="0" t="0" r="27305" b="19050"/>
                <wp:wrapNone/>
                <wp:docPr id="7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6880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2" o:spid="_x0000_s1026" o:spt="20" style="position:absolute;left:0pt;flip:y;margin-left:3.85pt;margin-top:5pt;height:0pt;width:447.85pt;z-index:251660288;mso-width-relative:page;mso-height-relative:page;" filled="f" stroked="t" coordsize="21600,21600" o:gfxdata="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LSI+o/VAAAABwEAAA8AAAAAAAAAAQAgAAAAIgAAAGRycy9kb3ducmV2LnhtbFBLAQIUABQA&#10;AAAIAIdO4kDU3f+d8wEAAOMDAAAOAAAAAAAAAAEAIAAAACQBAABkcnMvZTJvRG9jLnhtbFBLBQYA&#10;AAAABgAGAFkBAACJBQAAAAA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抄送：合肥区域经济与城市发展研究院。</w:t>
      </w:r>
    </w:p>
    <w:p w14:paraId="7E3AE7BB">
      <w:pPr>
        <w:spacing w:line="520" w:lineRule="exact"/>
        <w:ind w:left="210" w:leftChars="100" w:right="210" w:rightChars="100"/>
        <w:jc w:val="distribute"/>
        <w:rPr>
          <w:rFonts w:ascii="Times New Roman" w:hAnsi="Times New Roman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59055</wp:posOffset>
                </wp:positionH>
                <wp:positionV relativeFrom="paragraph">
                  <wp:posOffset>375920</wp:posOffset>
                </wp:positionV>
                <wp:extent cx="5687695" cy="0"/>
                <wp:effectExtent l="0" t="0" r="27305" b="1905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6880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4.65pt;margin-top:29.6pt;height:0pt;width:447.85pt;z-index:251661312;mso-width-relative:page;mso-height-relative:page;" filled="f" stroked="t" coordsize="21600,21600" o:gfxdata="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BFp1BI1gAAAAcBAAAPAAAAAAAAAAEAIAAAACIAAABkcnMvZG93bnJldi54bWxQSwECFAAU&#10;AAAACACHTuJA0EfVzPMBAADjAwAADgAAAAAAAAABACAAAAAlAQAAZHJzL2Uyb0RvYy54bWxQSwUG&#10;AAAAAAYABgBZAQAAig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57785</wp:posOffset>
                </wp:positionH>
                <wp:positionV relativeFrom="paragraph">
                  <wp:posOffset>37465</wp:posOffset>
                </wp:positionV>
                <wp:extent cx="5687695" cy="0"/>
                <wp:effectExtent l="0" t="0" r="27305" b="19050"/>
                <wp:wrapNone/>
                <wp:docPr id="4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6880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2" o:spid="_x0000_s1026" o:spt="20" style="position:absolute;left:0pt;flip:y;margin-left:4.55pt;margin-top:2.95pt;height:0pt;width:447.85pt;z-index:251659264;mso-width-relative:page;mso-height-relative:page;" filled="f" stroked="t" coordsize="21600,21600" o:gfxdata="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Cxw3FNQAAAAFAQAADwAAAAAAAAABACAAAAAiAAAAZHJzL2Rvd25yZXYueG1sUEsBAhQAFAAA&#10;AAgAh07iQNv9nMXzAQAA4wMAAA4AAAAAAAAAAQAgAAAAIwEAAGRycy9lMm9Eb2MueG1sUEsFBgAA&#10;AAAGAAYAWQEAAIg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 w:eastAsia="仿宋_GB2312" w:cs="仿宋_GB2312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合肥市人民政府政策研究室</w:t>
      </w:r>
      <w:r>
        <w:rPr>
          <w:rFonts w:ascii="Times New Roman" w:hAnsi="Times New Roman" w:eastAsia="仿宋_GB2312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 xml:space="preserve">            </w:t>
      </w:r>
      <w:r>
        <w:rPr>
          <w:rFonts w:hint="eastAsia" w:ascii="Times New Roman" w:hAnsi="Times New Roman" w:eastAsia="仿宋_GB2312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ascii="Times New Roman" w:hAnsi="Times New Roman" w:eastAsia="仿宋_GB2312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2023年</w:t>
      </w:r>
      <w:r>
        <w:rPr>
          <w:rFonts w:hint="eastAsia" w:ascii="Times New Roman" w:hAnsi="Times New Roman" w:eastAsia="仿宋_GB2312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2</w:t>
      </w:r>
      <w:r>
        <w:rPr>
          <w:rFonts w:ascii="Times New Roman" w:hAnsi="Times New Roman" w:eastAsia="仿宋_GB2312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>月23日印</w:t>
      </w:r>
      <w:r>
        <w:rPr>
          <w:rFonts w:hint="eastAsia" w:ascii="Times New Roman" w:hAnsi="Times New Roman" w:eastAsia="仿宋_GB2312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 xml:space="preserve">发   </w:t>
      </w:r>
    </w:p>
    <w:sectPr>
      <w:footerReference r:id="rId3" w:type="default"/>
      <w:pgSz w:w="11906" w:h="16838"/>
      <w:pgMar w:top="1985" w:right="1440" w:bottom="1758" w:left="1440" w:header="851" w:footer="992" w:gutter="0"/>
      <w:pgNumType w:fmt="numberInDash" w:start="2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2B8EF9">
    <w:pPr>
      <w:pStyle w:val="3"/>
      <w:jc w:val="right"/>
      <w:rPr>
        <w:rFonts w:ascii="Times New Roman" w:hAnsi="Times New Roman" w:cs="Times New Roman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sdt>
                          <w:sdtPr>
                            <w:id w:val="698748827"/>
                          </w:sdtPr>
                          <w:sdtEndP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sdtEndPr>
                          <w:sdtContent>
                            <w:p w14:paraId="6918722C">
                              <w:pPr>
                                <w:pStyle w:val="3"/>
                                <w:jc w:val="right"/>
                                <w:rPr>
                                  <w:rFonts w:ascii="Times New Roman" w:hAnsi="Times New Roman" w:cs="Times New Roman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8"/>
                                  <w:szCs w:val="28"/>
                                </w:rPr>
                                <w:instrText xml:space="preserve">PAGE   \* MERGEFORMAT</w:instrTex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8"/>
                                  <w:szCs w:val="28"/>
                                  <w:lang w:val="zh-CN"/>
                                </w:rPr>
                                <w:t>-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8"/>
                                  <w:szCs w:val="28"/>
                                </w:rPr>
                                <w:t xml:space="preserve"> 6 -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 w14:paraId="69E0E4AA">
                          <w:pP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bxmbQxAgAAY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hMmzLGz1&#10;zvIIHeXxdnUMkDOpHEXplEB34gGzl/rU70kc7j/PKerxv2H5G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CG8Zm0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698748827"/>
                    </w:sdtPr>
                    <w:sdtEndP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sdtEndPr>
                    <w:sdtContent>
                      <w:p w14:paraId="6918722C">
                        <w:pPr>
                          <w:pStyle w:val="3"/>
                          <w:jc w:val="right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instrText xml:space="preserve">PAGE   \* MERGEFORMAT</w:instrText>
                        </w: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fldChar w:fldCharType="separate"/>
                        </w: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  <w:lang w:val="zh-CN"/>
                          </w:rPr>
                          <w:t>-</w:t>
                        </w: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 6 -</w:t>
                        </w: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fldChar w:fldCharType="end"/>
                        </w:r>
                      </w:p>
                    </w:sdtContent>
                  </w:sdt>
                  <w:p w14:paraId="69E0E4AA">
                    <w:pPr>
                      <w:rPr>
                        <w:rFonts w:ascii="Times New Roman" w:hAnsi="Times New Roman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67188CF8">
    <w:pPr>
      <w:pStyle w:val="3"/>
      <w:tabs>
        <w:tab w:val="left" w:pos="5380"/>
        <w:tab w:val="clear" w:pos="4153"/>
        <w:tab w:val="clear" w:pos="8306"/>
      </w:tabs>
    </w:pPr>
    <w: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2FB0"/>
    <w:rsid w:val="00023F44"/>
    <w:rsid w:val="0008447D"/>
    <w:rsid w:val="00110EB4"/>
    <w:rsid w:val="00112C42"/>
    <w:rsid w:val="0013070D"/>
    <w:rsid w:val="001464A0"/>
    <w:rsid w:val="00155B47"/>
    <w:rsid w:val="00162CC2"/>
    <w:rsid w:val="002632F4"/>
    <w:rsid w:val="002B55B2"/>
    <w:rsid w:val="003032E1"/>
    <w:rsid w:val="00311858"/>
    <w:rsid w:val="003149C0"/>
    <w:rsid w:val="0039108C"/>
    <w:rsid w:val="003D1B29"/>
    <w:rsid w:val="003E485A"/>
    <w:rsid w:val="003E6538"/>
    <w:rsid w:val="00415148"/>
    <w:rsid w:val="00415870"/>
    <w:rsid w:val="004202CF"/>
    <w:rsid w:val="004B6734"/>
    <w:rsid w:val="004E1CDE"/>
    <w:rsid w:val="004E71F7"/>
    <w:rsid w:val="00554CA4"/>
    <w:rsid w:val="00567A24"/>
    <w:rsid w:val="005726C4"/>
    <w:rsid w:val="00582CD6"/>
    <w:rsid w:val="00594B83"/>
    <w:rsid w:val="005D324D"/>
    <w:rsid w:val="005F2F9E"/>
    <w:rsid w:val="00617FDA"/>
    <w:rsid w:val="00644DA5"/>
    <w:rsid w:val="00657D1F"/>
    <w:rsid w:val="00663D4E"/>
    <w:rsid w:val="006755C6"/>
    <w:rsid w:val="00692FB0"/>
    <w:rsid w:val="006C40CE"/>
    <w:rsid w:val="006C5409"/>
    <w:rsid w:val="006D52FF"/>
    <w:rsid w:val="006D6689"/>
    <w:rsid w:val="00752913"/>
    <w:rsid w:val="00762C60"/>
    <w:rsid w:val="0077715D"/>
    <w:rsid w:val="007B1EFA"/>
    <w:rsid w:val="007D350F"/>
    <w:rsid w:val="007F3421"/>
    <w:rsid w:val="008D7307"/>
    <w:rsid w:val="00911459"/>
    <w:rsid w:val="00977524"/>
    <w:rsid w:val="00982AA4"/>
    <w:rsid w:val="00A02778"/>
    <w:rsid w:val="00A35C1F"/>
    <w:rsid w:val="00A64788"/>
    <w:rsid w:val="00A83B99"/>
    <w:rsid w:val="00A96135"/>
    <w:rsid w:val="00A967F1"/>
    <w:rsid w:val="00B03CE6"/>
    <w:rsid w:val="00B054CC"/>
    <w:rsid w:val="00B153B2"/>
    <w:rsid w:val="00B5166A"/>
    <w:rsid w:val="00B6015E"/>
    <w:rsid w:val="00B63283"/>
    <w:rsid w:val="00B67BA0"/>
    <w:rsid w:val="00B974C0"/>
    <w:rsid w:val="00BB2F38"/>
    <w:rsid w:val="00BD0B02"/>
    <w:rsid w:val="00BF27C9"/>
    <w:rsid w:val="00BF7FCC"/>
    <w:rsid w:val="00C86487"/>
    <w:rsid w:val="00CC7357"/>
    <w:rsid w:val="00D80FEC"/>
    <w:rsid w:val="00D83B0A"/>
    <w:rsid w:val="00DB229D"/>
    <w:rsid w:val="00DC146A"/>
    <w:rsid w:val="00DD3F94"/>
    <w:rsid w:val="00DE6CE3"/>
    <w:rsid w:val="00E158E4"/>
    <w:rsid w:val="00E24720"/>
    <w:rsid w:val="00E62F73"/>
    <w:rsid w:val="00E7514D"/>
    <w:rsid w:val="00E81820"/>
    <w:rsid w:val="00E97065"/>
    <w:rsid w:val="00EB5425"/>
    <w:rsid w:val="00F620FD"/>
    <w:rsid w:val="00F75FF5"/>
    <w:rsid w:val="00F80694"/>
    <w:rsid w:val="00FD7C3E"/>
    <w:rsid w:val="0ABE12DC"/>
    <w:rsid w:val="0EEC1ADB"/>
    <w:rsid w:val="146759D3"/>
    <w:rsid w:val="1BBF1B22"/>
    <w:rsid w:val="28E427BE"/>
    <w:rsid w:val="49371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